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【省客户支撑中心蒋鑫】</w:t>
      </w:r>
    </w:p>
    <w:p>
      <w:pPr>
        <w:ind w:firstLine="420"/>
      </w:pPr>
      <w:r>
        <w:rPr>
          <w:rFonts w:ascii="仿宋" w:hAnsi="仿宋"/>
          <w:b/>
          <w:sz w:val="32"/>
        </w:rPr>
        <w:t>问题表现（一）：</w:t>
      </w:r>
    </w:p>
    <w:p>
      <w:pPr>
        <w:ind w:firstLine="420"/>
      </w:pPr>
      <w:r>
        <w:rPr>
          <w:rFonts w:ascii="仿宋" w:hAnsi="仿宋"/>
          <w:sz w:val="32"/>
        </w:rPr>
        <w:t>思想觉悟与工作作风层面，扮演"传声筒"角色多、充当"攻坚者"角色少，跨专业协作中"只管流转、不问结果"的惯性较为明显。虽然已不再被动等待派工，但一旦遇到ICNOC、IT等多专业交叉的硬骨头，就容易缺乏打持久战的定力。习惯于把问题转出去就算完成了任务，对后续能不能解决、什么时候解决缺乏追踪问效的意识，导致不少疑难杂症久久无人收网，离"事事有回音、件件有着落"的要求还有差距。</w:t>
      </w:r>
    </w:p>
    <w:p>
      <w:pPr>
        <w:ind w:firstLine="420"/>
      </w:pPr>
      <w:r>
        <w:rPr>
          <w:rFonts w:ascii="仿宋" w:hAnsi="仿宋"/>
          <w:b/>
          <w:sz w:val="32"/>
        </w:rPr>
        <w:t>具体事例：</w:t>
      </w:r>
    </w:p>
    <w:p>
      <w:pPr>
        <w:ind w:firstLine="420"/>
      </w:pPr>
      <w:r>
        <w:rPr>
          <w:rFonts w:ascii="仿宋" w:hAnsi="仿宋"/>
          <w:sz w:val="32"/>
        </w:rPr>
        <w:t>一是政企客户报来跨专业故障工单后，虽然很快就把工单分发给了ICNOC和IT部门，但分发完就觉得自己的事态已经结束，并没有继续盯着各方去抽丝剥茧、明确解决时限和路径，结果工单一直悬在那里没人管，活活拖成了烂尾工单。二是一线客户经理反映互联网专线自动化开通卡在那里推不动，根源在IT资源系统和编排系统的功能改造上，我只是把问题往上报了一嘴，之后就再没去促动跟进，让这个堵点一直无人撬动，严重影响了一线业务开通的效率。</w:t>
      </w:r>
    </w:p>
    <w:p>
      <w:pPr>
        <w:ind w:firstLine="420"/>
      </w:pPr>
      <w:r>
        <w:rPr>
          <w:rFonts w:ascii="仿宋" w:hAnsi="仿宋"/>
          <w:b/>
          <w:sz w:val="32"/>
        </w:rPr>
        <w:t>整改举措：</w:t>
      </w:r>
    </w:p>
    <w:p>
      <w:pPr>
        <w:ind w:firstLine="420"/>
      </w:pPr>
      <w:r>
        <w:rPr>
          <w:rFonts w:ascii="仿宋" w:hAnsi="仿宋"/>
          <w:sz w:val="32"/>
        </w:rPr>
        <w:t>一是扭转"转交即完成"的思维定势，牢固确立"一线为先、客户体验至上"的服务导向。 常态化主动对接客户经理和运维团队，将产品应用和流程中的卡点全部挖出来，建立动态更新的"问需台账"。</w:t>
      </w:r>
    </w:p>
    <w:p>
      <w:pPr>
        <w:ind w:firstLine="420"/>
      </w:pPr>
      <w:r>
        <w:rPr>
          <w:rFonts w:ascii="仿宋" w:hAnsi="仿宋"/>
          <w:sz w:val="32"/>
        </w:rPr>
        <w:t>二是打破"各扫门前雪"的协作矫性，主动牵头拉通政企、ICNOC、IT等专业团队，先分清问题责任归属。 能标准化的问题就推动写进流程和系统；跨域复杂问题则自己顶上去当"第一接口人"，从头到尾盯到问题清零为止。</w:t>
      </w:r>
    </w:p>
    <w:p>
      <w:pPr>
        <w:ind w:firstLine="420"/>
      </w:pPr>
      <w:r>
        <w:rPr>
          <w:rFonts w:ascii="仿宋" w:hAnsi="仿宋"/>
          <w:sz w:val="32"/>
        </w:rPr>
        <w:t>三是把首问负责制压到底，问需台账里属于常规性问题（非流程改造类、非产品优化类），承诺7天内解决率始终保持100%，坚决不允许推诿扯皮。</w:t>
      </w:r>
    </w:p>
    <w:p>
      <w:pPr>
        <w:ind w:firstLine="420"/>
      </w:pPr>
      <w:r>
        <w:rPr>
          <w:rFonts w:ascii="仿宋" w:hAnsi="仿宋"/>
          <w:b/>
          <w:sz w:val="32"/>
        </w:rPr>
        <w:t>问题表现（二）：</w:t>
      </w:r>
      <w:r>
        <w:rPr>
          <w:rFonts w:ascii="仿宋" w:hAnsi="仿宋"/>
          <w:sz w:val="32"/>
        </w:rPr>
        <w:t>专业能力与工作成效方面，知识积累长期处于"零敲碎打"状态，还没有搭建起系统化的专业护城河。对核心产品的底层原理、资源模型、计费规则缺乏深入钻研，停留在"懂个大概、说不细"的层面。底子薄的直接后果就是——客户提出定制化、复杂化的信息化需求时，无法第一时间拿出精准的解决方案，日常工作大多时候还是在做"事务性响应"，离"专家型赋能"还有不小距离。</w:t>
      </w:r>
    </w:p>
    <w:p>
      <w:pPr>
        <w:ind w:firstLine="420"/>
      </w:pPr>
      <w:r>
        <w:rPr>
          <w:rFonts w:ascii="仿宋" w:hAnsi="仿宋"/>
          <w:b/>
          <w:sz w:val="32"/>
        </w:rPr>
        <w:t>具体事例：</w:t>
      </w:r>
      <w:r>
        <w:rPr>
          <w:rFonts w:ascii="仿宋" w:hAnsi="仿宋"/>
          <w:sz w:val="32"/>
        </w:rPr>
        <w:t>目前仅对互联网专线、IPRAN专线、IP虚拟专网三个产品做了较为系统的梳理，而省内VPN专线、政务专网、商务专线这三个重要产品的认知还仅停留在初步了解的阶段，开通交付怎么走、资源模型怎么建、故障怎么处理，都还没有理清楚。客户经理来问政务专网的组网方案，就只能给出模棱两可的回复，支撑的深度和广度远远不够。</w:t>
      </w:r>
    </w:p>
    <w:p>
      <w:pPr>
        <w:ind w:firstLine="420"/>
      </w:pPr>
      <w:r>
        <w:rPr>
          <w:rFonts w:ascii="仿宋" w:hAnsi="仿宋"/>
          <w:b/>
          <w:sz w:val="32"/>
        </w:rPr>
        <w:t>整改举措：</w:t>
      </w:r>
    </w:p>
    <w:p>
      <w:pPr>
        <w:ind w:firstLine="420"/>
      </w:pPr>
      <w:r>
        <w:rPr>
          <w:rFonts w:ascii="仿宋" w:hAnsi="仿宋"/>
          <w:sz w:val="32"/>
        </w:rPr>
        <w:t>一是用考证倒逼能力提升。 制定硬性学习计划，2026年6月底前必须拿下天翼云高级解决方案架构师认证，同时通过PAAS开发运营L3和高端交付工程师考试，以考促学，强制补齐短板。</w:t>
      </w:r>
    </w:p>
    <w:p>
      <w:pPr>
        <w:ind w:firstLine="420"/>
      </w:pPr>
      <w:r>
        <w:rPr>
          <w:rFonts w:ascii="仿宋" w:hAnsi="仿宋"/>
          <w:sz w:val="32"/>
        </w:rPr>
        <w:t>二是用输出倒逼知识体系。 重点研究产品底层架构、开通交付全流程和常见故障处置逻辑，高质量完成互联网专线、IPRAN专线、IP虚拟专网的产品手册编写，同时补充复杂场景故障案例和资源模型解析，让理论和实践同步升级。</w:t>
      </w:r>
    </w:p>
    <w:p>
      <w:pPr>
        <w:ind w:firstLine="420"/>
      </w:pPr>
      <w:r>
        <w:rPr>
          <w:rFonts w:ascii="仿宋" w:hAnsi="仿宋"/>
          <w:sz w:val="32"/>
        </w:rPr>
        <w:t>三是用指标倒逼学习落地。 学习成果必须转化到实际产出上，严格落实日常职责，双线产品开通及时率不低于99%，双线产品开通卡单4小时处理及时率不低于70%，用硬数据证明能力是否真正提升了。</w:t>
      </w:r>
    </w:p>
    <w:sectPr w:rsidR="00FC693F" w:rsidRPr="0006063C" w:rsidSect="00034616"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560" w:lineRule="exact"/>
    </w:pPr>
    <w:rPr>
      <w:rFonts w:ascii="仿宋" w:hAnsi="仿宋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黑体" w:hAnsi="黑体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